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16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" w:hAnsi="仿宋" w:eastAsia="仿宋" w:cs="仿宋"/>
          <w:color w:val="auto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color w:val="auto"/>
          <w:szCs w:val="32"/>
          <w:highlight w:val="none"/>
          <w:lang w:val="en-US" w:eastAsia="zh-CN"/>
        </w:rPr>
        <w:t>附件2</w:t>
      </w:r>
      <w:bookmarkEnd w:id="0"/>
    </w:p>
    <w:p w14:paraId="29D7D1EA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Autospacing="0" w:afterAutospacing="0" w:line="600" w:lineRule="atLeast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lang w:val="en-US" w:eastAsia="zh-CN"/>
        </w:rPr>
        <w:t>东源县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u w:val="none"/>
          <w:lang w:val="en-US" w:eastAsia="zh-CN"/>
        </w:rPr>
        <w:t>乡镇</w:t>
      </w: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6"/>
          <w:szCs w:val="36"/>
          <w:highlight w:val="none"/>
          <w:lang w:val="en-US" w:eastAsia="zh-CN"/>
        </w:rPr>
        <w:t>项目建设主体档案汇总表</w:t>
      </w:r>
    </w:p>
    <w:p w14:paraId="69530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8" w:lineRule="exact"/>
        <w:textAlignment w:val="auto"/>
        <w:rPr>
          <w:rFonts w:hint="eastAsia" w:ascii="仿宋" w:hAnsi="仿宋" w:eastAsia="仿宋" w:cs="仿宋"/>
          <w:color w:val="auto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Cs w:val="32"/>
          <w:highlight w:val="none"/>
          <w:lang w:val="en-US" w:eastAsia="zh-CN"/>
        </w:rPr>
        <w:t>乡镇：          填报时间：               填表人：             联系电话：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180"/>
        <w:gridCol w:w="2162"/>
        <w:gridCol w:w="1074"/>
        <w:gridCol w:w="2252"/>
        <w:gridCol w:w="1458"/>
        <w:gridCol w:w="1040"/>
        <w:gridCol w:w="1180"/>
        <w:gridCol w:w="1741"/>
        <w:gridCol w:w="937"/>
      </w:tblGrid>
      <w:tr w14:paraId="0EFE2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693" w:type="dxa"/>
            <w:vAlign w:val="center"/>
          </w:tcPr>
          <w:p w14:paraId="05FEDA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180" w:type="dxa"/>
            <w:vAlign w:val="center"/>
          </w:tcPr>
          <w:p w14:paraId="0CCBB6C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村（居）</w:t>
            </w:r>
          </w:p>
        </w:tc>
        <w:tc>
          <w:tcPr>
            <w:tcW w:w="2162" w:type="dxa"/>
            <w:vAlign w:val="center"/>
          </w:tcPr>
          <w:p w14:paraId="06098A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1074" w:type="dxa"/>
            <w:vAlign w:val="center"/>
          </w:tcPr>
          <w:p w14:paraId="37850D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负责人</w:t>
            </w:r>
          </w:p>
          <w:p w14:paraId="1C3123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2252" w:type="dxa"/>
            <w:vAlign w:val="center"/>
          </w:tcPr>
          <w:p w14:paraId="5EC6C24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身份证号/社会信用代码</w:t>
            </w:r>
          </w:p>
        </w:tc>
        <w:tc>
          <w:tcPr>
            <w:tcW w:w="1458" w:type="dxa"/>
            <w:vAlign w:val="center"/>
          </w:tcPr>
          <w:p w14:paraId="1E211A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040" w:type="dxa"/>
            <w:vAlign w:val="center"/>
          </w:tcPr>
          <w:p w14:paraId="4C7B5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水稻品种</w:t>
            </w:r>
          </w:p>
        </w:tc>
        <w:tc>
          <w:tcPr>
            <w:tcW w:w="1180" w:type="dxa"/>
            <w:vAlign w:val="center"/>
          </w:tcPr>
          <w:p w14:paraId="5D99423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面积</w:t>
            </w:r>
            <w:r>
              <w:rPr>
                <w:rFonts w:hint="eastAsia" w:ascii="仿宋" w:hAnsi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亩</w:t>
            </w:r>
            <w:r>
              <w:rPr>
                <w:rFonts w:hint="eastAsia" w:ascii="仿宋" w:hAnsi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1741" w:type="dxa"/>
            <w:vAlign w:val="center"/>
          </w:tcPr>
          <w:p w14:paraId="17EA65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落实的关键技术措施</w:t>
            </w:r>
          </w:p>
        </w:tc>
        <w:tc>
          <w:tcPr>
            <w:tcW w:w="937" w:type="dxa"/>
            <w:vAlign w:val="center"/>
          </w:tcPr>
          <w:p w14:paraId="3A92BC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亩产水平</w:t>
            </w:r>
            <w:r>
              <w:rPr>
                <w:rFonts w:hint="eastAsia" w:ascii="仿宋" w:hAnsi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公斤</w:t>
            </w:r>
            <w:r>
              <w:rPr>
                <w:rFonts w:hint="eastAsia" w:ascii="仿宋" w:hAnsi="仿宋" w:cs="仿宋"/>
                <w:b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）</w:t>
            </w:r>
          </w:p>
        </w:tc>
      </w:tr>
      <w:tr w14:paraId="7CF0B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93" w:type="dxa"/>
            <w:vAlign w:val="center"/>
          </w:tcPr>
          <w:p w14:paraId="4FCD43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32590CD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2" w:type="dxa"/>
            <w:vAlign w:val="center"/>
          </w:tcPr>
          <w:p w14:paraId="0FD242B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5861FA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vAlign w:val="center"/>
          </w:tcPr>
          <w:p w14:paraId="24760DB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29CC7C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49DA7E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0FD392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 w14:paraId="757B28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7C6A00A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21C4D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93" w:type="dxa"/>
            <w:vAlign w:val="center"/>
          </w:tcPr>
          <w:p w14:paraId="470FC0F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20F099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2" w:type="dxa"/>
            <w:vAlign w:val="center"/>
          </w:tcPr>
          <w:p w14:paraId="6118EB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548E5D7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vAlign w:val="center"/>
          </w:tcPr>
          <w:p w14:paraId="1CF3BA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0D46F05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49AF28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2E325C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 w14:paraId="3B6247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1065F7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3297E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93" w:type="dxa"/>
            <w:vAlign w:val="center"/>
          </w:tcPr>
          <w:p w14:paraId="390E99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4127CEB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2" w:type="dxa"/>
            <w:vAlign w:val="center"/>
          </w:tcPr>
          <w:p w14:paraId="42A63D7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49B1223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vAlign w:val="center"/>
          </w:tcPr>
          <w:p w14:paraId="507E4D4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1ABB64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6265FB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76F297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 w14:paraId="49821C1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18C3A48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4B093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93" w:type="dxa"/>
            <w:vAlign w:val="center"/>
          </w:tcPr>
          <w:p w14:paraId="640B94B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164AAC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2" w:type="dxa"/>
            <w:vAlign w:val="center"/>
          </w:tcPr>
          <w:p w14:paraId="70DE68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387DF9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vAlign w:val="center"/>
          </w:tcPr>
          <w:p w14:paraId="659330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6917F1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07F2060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2520298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 w14:paraId="7A48BB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637EDF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12A90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93" w:type="dxa"/>
            <w:vAlign w:val="center"/>
          </w:tcPr>
          <w:p w14:paraId="1824FF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1729232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2" w:type="dxa"/>
            <w:vAlign w:val="center"/>
          </w:tcPr>
          <w:p w14:paraId="4BD9C2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3A4695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vAlign w:val="center"/>
          </w:tcPr>
          <w:p w14:paraId="35FF8DF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3448EA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5EBE9E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57BB38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 w14:paraId="37B4170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77C3368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12EA7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93" w:type="dxa"/>
            <w:vAlign w:val="center"/>
          </w:tcPr>
          <w:p w14:paraId="578245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23718A4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2" w:type="dxa"/>
            <w:vAlign w:val="center"/>
          </w:tcPr>
          <w:p w14:paraId="0FFFEB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0EFA86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vAlign w:val="center"/>
          </w:tcPr>
          <w:p w14:paraId="2332FD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61DF82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6CADA4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171482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 w14:paraId="6BCFB3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2169D8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 w14:paraId="2E96A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93" w:type="dxa"/>
            <w:vAlign w:val="center"/>
          </w:tcPr>
          <w:p w14:paraId="1BB157D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7B9E4E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162" w:type="dxa"/>
            <w:vAlign w:val="center"/>
          </w:tcPr>
          <w:p w14:paraId="312B581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74" w:type="dxa"/>
            <w:vAlign w:val="center"/>
          </w:tcPr>
          <w:p w14:paraId="45A7CF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252" w:type="dxa"/>
            <w:vAlign w:val="center"/>
          </w:tcPr>
          <w:p w14:paraId="600C86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458" w:type="dxa"/>
            <w:vAlign w:val="center"/>
          </w:tcPr>
          <w:p w14:paraId="14F25A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40" w:type="dxa"/>
            <w:vAlign w:val="center"/>
          </w:tcPr>
          <w:p w14:paraId="41D054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80" w:type="dxa"/>
            <w:vAlign w:val="center"/>
          </w:tcPr>
          <w:p w14:paraId="09F2A64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741" w:type="dxa"/>
            <w:vAlign w:val="center"/>
          </w:tcPr>
          <w:p w14:paraId="691904D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937" w:type="dxa"/>
            <w:vAlign w:val="center"/>
          </w:tcPr>
          <w:p w14:paraId="1E0A536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</w:tbl>
    <w:p w14:paraId="200F6255">
      <w:pPr>
        <w:keepNext w:val="0"/>
        <w:keepLines w:val="0"/>
        <w:widowControl w:val="0"/>
        <w:suppressLineNumbers w:val="0"/>
        <w:autoSpaceDE/>
        <w:autoSpaceDN/>
        <w:spacing w:before="0" w:beforeAutospacing="0" w:after="0" w:afterAutospacing="0" w:line="400" w:lineRule="exact"/>
        <w:ind w:left="0" w:right="0"/>
        <w:jc w:val="left"/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注：此表需提交两次，一是在报名期与参赛表、公示图片一起报县农业农村局；二是在收获测产后与测产表、种植管理档案一起报县农业农村局。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E4A0FB4-5682-41EA-924D-C36B23AB7B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2D47BB0-BD73-4804-9C43-82A19308E1D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5DE1324-F3E2-4DA4-A33B-F3161937CB0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6D4F9D4-D083-4D80-98DB-4B14C40280D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210E1"/>
    <w:rsid w:val="6D721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2025-01-23T00:55:00Z</dcterms:created>
  <dc:creator>劉zhi鹏</dc:creator>
  <cp:lastModifiedBy>劉zhi鹏</cp:lastModifiedBy>
  <dcterms:modified xsi:type="dcterms:W3CDTF">2025-01-23T00:58:52Z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799460249090450A9608D99E86CBD5A9_11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