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东源县贯彻落实《河源市产业园区用地整治</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提升行动工作方案》的奖励措施细则</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方正楷体_GBK" w:hAnsi="方正楷体_GBK" w:eastAsia="方正楷体_GBK" w:cs="方正楷体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贯彻落实《河源市人民政府办公室关于印发河源市产业园区用地整治提升行动工作方案的通知》（河府办〔2021〕16号），更大力度支持企业盘活利用低效用地，提高土地节约集约化水平，加快“腾笼换鸟”步伐，促进新旧动能转换，推动全县工业经济持续健康发展，根据文件要求，结合我县实际</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制订如下</w:t>
      </w:r>
      <w:r>
        <w:rPr>
          <w:rFonts w:hint="eastAsia" w:ascii="方正仿宋_GBK" w:hAnsi="方正仿宋_GBK" w:eastAsia="方正仿宋_GBK" w:cs="方正仿宋_GBK"/>
          <w:sz w:val="32"/>
          <w:szCs w:val="32"/>
          <w:lang w:val="en-US" w:eastAsia="zh-CN"/>
        </w:rPr>
        <w:t>奖励</w:t>
      </w:r>
      <w:r>
        <w:rPr>
          <w:rFonts w:hint="eastAsia" w:ascii="方正仿宋_GBK" w:hAnsi="方正仿宋_GBK" w:eastAsia="方正仿宋_GBK" w:cs="方正仿宋_GBK"/>
          <w:sz w:val="32"/>
          <w:szCs w:val="32"/>
        </w:rPr>
        <w:t>措施</w:t>
      </w:r>
      <w:r>
        <w:rPr>
          <w:rFonts w:hint="eastAsia" w:ascii="方正仿宋_GBK" w:hAnsi="方正仿宋_GBK" w:eastAsia="方正仿宋_GBK" w:cs="方正仿宋_GBK"/>
          <w:sz w:val="32"/>
          <w:szCs w:val="32"/>
          <w:lang w:val="en-US" w:eastAsia="zh-CN"/>
        </w:rPr>
        <w:t>细则</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一、实施对象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宋体" w:hAnsi="宋体" w:eastAsia="黑体"/>
          <w:color w:val="000000"/>
          <w:sz w:val="32"/>
          <w:szCs w:val="32"/>
          <w:u w:val="none"/>
          <w:lang w:val="en-US" w:eastAsia="zh-CN"/>
        </w:rPr>
      </w:pPr>
      <w:r>
        <w:rPr>
          <w:rFonts w:hint="eastAsia" w:ascii="方正仿宋_GBK" w:hAnsi="方正仿宋_GBK" w:eastAsia="方正仿宋_GBK" w:cs="方正仿宋_GBK"/>
          <w:sz w:val="32"/>
          <w:szCs w:val="32"/>
          <w:lang w:val="en-US" w:eastAsia="zh-CN"/>
        </w:rPr>
        <w:t>盘活由河源市产业园区用地整治提升工作专班根据</w:t>
      </w:r>
      <w:r>
        <w:rPr>
          <w:rFonts w:hint="eastAsia" w:ascii="方正仿宋_GBK" w:hAnsi="方正仿宋_GBK" w:eastAsia="方正仿宋_GBK" w:cs="方正仿宋_GBK"/>
          <w:sz w:val="32"/>
          <w:szCs w:val="32"/>
        </w:rPr>
        <w:t>《河源市人民政府办公室关于印发河源市产业园区用地整治提升行动工作方案的通知》（河府办〔2021〕16号）</w:t>
      </w:r>
      <w:r>
        <w:rPr>
          <w:rFonts w:hint="eastAsia" w:ascii="方正仿宋_GBK" w:hAnsi="方正仿宋_GBK" w:eastAsia="方正仿宋_GBK" w:cs="方正仿宋_GBK"/>
          <w:sz w:val="32"/>
          <w:szCs w:val="32"/>
          <w:lang w:val="en-US" w:eastAsia="zh-CN"/>
        </w:rPr>
        <w:t>认定的</w:t>
      </w:r>
      <w:r>
        <w:rPr>
          <w:rFonts w:hint="eastAsia" w:ascii="方正仿宋_GBK" w:hAnsi="方正仿宋_GBK" w:eastAsia="方正仿宋_GBK" w:cs="方正仿宋_GBK"/>
          <w:b/>
          <w:bCs/>
          <w:sz w:val="32"/>
          <w:szCs w:val="32"/>
          <w:lang w:val="en-US" w:eastAsia="zh-CN"/>
        </w:rPr>
        <w:t>低效产业用地和可提升产业用地的企业</w:t>
      </w:r>
      <w:r>
        <w:rPr>
          <w:rFonts w:hint="eastAsia" w:ascii="方正仿宋_GBK" w:hAnsi="方正仿宋_GBK" w:eastAsia="方正仿宋_GBK" w:cs="方正仿宋_GBK"/>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宋体" w:hAnsi="宋体" w:eastAsia="黑体"/>
          <w:color w:val="000000"/>
          <w:sz w:val="32"/>
          <w:szCs w:val="32"/>
          <w:u w:val="none"/>
        </w:rPr>
      </w:pPr>
      <w:r>
        <w:rPr>
          <w:rFonts w:hint="eastAsia" w:ascii="宋体" w:hAnsi="宋体" w:eastAsia="黑体"/>
          <w:color w:val="000000"/>
          <w:sz w:val="32"/>
          <w:szCs w:val="32"/>
          <w:u w:val="none"/>
          <w:lang w:eastAsia="zh-CN"/>
        </w:rPr>
        <w:t>二</w:t>
      </w:r>
      <w:r>
        <w:rPr>
          <w:rFonts w:hint="eastAsia" w:ascii="宋体" w:hAnsi="宋体" w:eastAsia="黑体"/>
          <w:color w:val="000000"/>
          <w:sz w:val="32"/>
          <w:szCs w:val="32"/>
          <w:u w:val="none"/>
        </w:rPr>
        <w:t>、</w:t>
      </w:r>
      <w:r>
        <w:rPr>
          <w:rFonts w:hint="eastAsia" w:ascii="宋体" w:hAnsi="宋体" w:eastAsia="黑体"/>
          <w:color w:val="000000"/>
          <w:sz w:val="32"/>
          <w:szCs w:val="32"/>
          <w:u w:val="none"/>
          <w:lang w:val="en-US" w:eastAsia="zh-CN"/>
        </w:rPr>
        <w:t>支持举措</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方正仿宋_GBK" w:cs="方正仿宋_GBK"/>
          <w:color w:val="000000"/>
          <w:sz w:val="32"/>
          <w:szCs w:val="32"/>
          <w:u w:val="none"/>
          <w:lang w:eastAsia="zh-CN"/>
        </w:rPr>
      </w:pPr>
      <w:r>
        <w:rPr>
          <w:rFonts w:hint="eastAsia" w:ascii="宋体" w:hAnsi="宋体" w:eastAsia="方正仿宋_GBK" w:cs="方正仿宋_GBK"/>
          <w:color w:val="000000"/>
          <w:sz w:val="32"/>
          <w:szCs w:val="32"/>
          <w:u w:val="none"/>
          <w:lang w:val="en-US" w:eastAsia="zh-CN"/>
        </w:rPr>
        <w:t>在符合规划、不改变用途的前提下，企业通过</w:t>
      </w:r>
      <w:r>
        <w:rPr>
          <w:rFonts w:hint="eastAsia" w:ascii="宋体" w:hAnsi="宋体" w:eastAsia="方正仿宋_GBK" w:cs="方正仿宋_GBK"/>
          <w:color w:val="000000"/>
          <w:sz w:val="32"/>
          <w:szCs w:val="32"/>
          <w:u w:val="none"/>
          <w:lang w:eastAsia="zh-CN"/>
        </w:rPr>
        <w:t>自行升级</w:t>
      </w:r>
      <w:r>
        <w:rPr>
          <w:rFonts w:hint="eastAsia" w:ascii="宋体" w:hAnsi="宋体" w:eastAsia="方正仿宋_GBK" w:cs="方正仿宋_GBK"/>
          <w:color w:val="000000"/>
          <w:sz w:val="32"/>
          <w:szCs w:val="32"/>
          <w:u w:val="none"/>
          <w:lang w:val="en-US" w:eastAsia="zh-CN"/>
        </w:rPr>
        <w:t>新建</w:t>
      </w:r>
      <w:r>
        <w:rPr>
          <w:rFonts w:hint="eastAsia" w:ascii="宋体" w:hAnsi="宋体" w:eastAsia="方正仿宋_GBK" w:cs="方正仿宋_GBK"/>
          <w:color w:val="000000"/>
          <w:sz w:val="32"/>
          <w:szCs w:val="32"/>
          <w:u w:val="none"/>
          <w:lang w:eastAsia="zh-CN"/>
        </w:rPr>
        <w:t>高标准厂房</w:t>
      </w:r>
      <w:r>
        <w:rPr>
          <w:rFonts w:hint="eastAsia" w:ascii="宋体" w:hAnsi="宋体" w:eastAsia="方正仿宋_GBK" w:cs="方正仿宋_GBK"/>
          <w:color w:val="000000"/>
          <w:sz w:val="32"/>
          <w:szCs w:val="32"/>
          <w:u w:val="none"/>
          <w:lang w:val="en-US" w:eastAsia="zh-CN"/>
        </w:rPr>
        <w:t>，容积率超过2.0的，对于超出容积率1.5的那部份建筑面积，在项目竣工验收后，可按200元/平方米标准，对实施主体进行奖励。对改造后用于兴办先进制造业、科技创新产业，由市工业和信息化局出具认定意见，奖励标准可提高20%；以上单个项目奖励不超过300万元</w:t>
      </w:r>
      <w:r>
        <w:rPr>
          <w:rFonts w:hint="eastAsia" w:ascii="宋体" w:hAnsi="宋体" w:eastAsia="方正仿宋_GBK" w:cs="方正仿宋_GBK"/>
          <w:color w:val="00000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宋体" w:hAnsi="宋体" w:eastAsia="黑体"/>
          <w:color w:val="000000"/>
          <w:sz w:val="32"/>
          <w:szCs w:val="32"/>
          <w:u w:val="none"/>
        </w:rPr>
      </w:pPr>
      <w:r>
        <w:rPr>
          <w:rFonts w:hint="eastAsia" w:ascii="宋体" w:hAnsi="宋体" w:eastAsia="黑体"/>
          <w:color w:val="000000"/>
          <w:sz w:val="32"/>
          <w:szCs w:val="32"/>
          <w:u w:val="none"/>
          <w:lang w:eastAsia="zh-CN"/>
        </w:rPr>
        <w:t>三</w:t>
      </w:r>
      <w:r>
        <w:rPr>
          <w:rFonts w:hint="eastAsia" w:ascii="宋体" w:hAnsi="宋体" w:eastAsia="黑体"/>
          <w:color w:val="000000"/>
          <w:sz w:val="32"/>
          <w:szCs w:val="32"/>
          <w:u w:val="none"/>
        </w:rPr>
        <w:t>、</w:t>
      </w:r>
      <w:r>
        <w:rPr>
          <w:rFonts w:hint="eastAsia" w:ascii="宋体" w:hAnsi="宋体" w:eastAsia="黑体"/>
          <w:color w:val="000000"/>
          <w:sz w:val="32"/>
          <w:szCs w:val="32"/>
          <w:u w:val="none"/>
          <w:lang w:val="en-US" w:eastAsia="zh-CN"/>
        </w:rPr>
        <w:t>申请流程</w:t>
      </w:r>
    </w:p>
    <w:p>
      <w:pPr>
        <w:keepNext w:val="0"/>
        <w:keepLines w:val="0"/>
        <w:pageBreakBefore w:val="0"/>
        <w:widowControl w:val="0"/>
        <w:kinsoku/>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方正仿宋_GBK" w:hAnsi="方正仿宋_GBK" w:eastAsia="方正仿宋_GBK" w:cs="方正仿宋_GBK"/>
          <w:color w:val="000000"/>
          <w:sz w:val="32"/>
          <w:szCs w:val="32"/>
          <w:lang w:eastAsia="zh-CN"/>
        </w:rPr>
      </w:pPr>
      <w:r>
        <w:rPr>
          <w:rFonts w:hint="eastAsia" w:ascii="宋体" w:hAnsi="宋体" w:eastAsia="方正仿宋_GBK" w:cs="方正仿宋_GBK"/>
          <w:color w:val="000000"/>
          <w:sz w:val="32"/>
          <w:szCs w:val="32"/>
          <w:u w:val="none"/>
          <w:lang w:eastAsia="zh-CN"/>
        </w:rPr>
        <w:t>（</w:t>
      </w:r>
      <w:r>
        <w:rPr>
          <w:rFonts w:hint="eastAsia" w:ascii="宋体" w:hAnsi="宋体" w:eastAsia="方正仿宋_GBK" w:cs="方正仿宋_GBK"/>
          <w:color w:val="000000"/>
          <w:sz w:val="32"/>
          <w:szCs w:val="32"/>
          <w:u w:val="none"/>
          <w:lang w:val="en-US" w:eastAsia="zh-CN"/>
        </w:rPr>
        <w:t>一</w:t>
      </w:r>
      <w:r>
        <w:rPr>
          <w:rFonts w:hint="eastAsia" w:ascii="宋体" w:hAnsi="宋体" w:eastAsia="方正仿宋_GBK" w:cs="方正仿宋_GBK"/>
          <w:color w:val="000000"/>
          <w:sz w:val="32"/>
          <w:szCs w:val="32"/>
          <w:u w:val="none"/>
          <w:lang w:eastAsia="zh-CN"/>
        </w:rPr>
        <w:t>）</w:t>
      </w:r>
      <w:r>
        <w:rPr>
          <w:rFonts w:hint="eastAsia" w:ascii="方正仿宋_GBK" w:hAnsi="方正仿宋_GBK" w:eastAsia="方正仿宋_GBK" w:cs="方正仿宋_GBK"/>
          <w:color w:val="000000"/>
          <w:sz w:val="32"/>
          <w:szCs w:val="32"/>
          <w:lang w:val="en-US" w:eastAsia="zh-CN"/>
        </w:rPr>
        <w:t>企业根据本《奖励措施细则》规定的申报条件及要求，向县工业商务和信息化局提交申报材料，原则上符合申报条件的应报尽报。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宋体" w:hAnsi="宋体" w:eastAsia="方正仿宋_GBK"/>
          <w:color w:val="000000"/>
          <w:sz w:val="32"/>
          <w:szCs w:val="32"/>
          <w:u w:val="none"/>
          <w:lang w:val="en-US" w:eastAsia="zh-CN"/>
        </w:rPr>
      </w:pPr>
      <w:r>
        <w:rPr>
          <w:rFonts w:hint="eastAsia" w:ascii="宋体" w:hAnsi="宋体" w:eastAsia="方正仿宋_GBK" w:cs="方正仿宋_GBK"/>
          <w:color w:val="000000"/>
          <w:sz w:val="32"/>
          <w:szCs w:val="32"/>
          <w:u w:val="none"/>
          <w:lang w:eastAsia="zh-CN"/>
        </w:rPr>
        <w:t>（</w:t>
      </w:r>
      <w:r>
        <w:rPr>
          <w:rFonts w:hint="eastAsia" w:ascii="宋体" w:hAnsi="宋体" w:eastAsia="方正仿宋_GBK" w:cs="方正仿宋_GBK"/>
          <w:color w:val="000000"/>
          <w:sz w:val="32"/>
          <w:szCs w:val="32"/>
          <w:u w:val="none"/>
          <w:lang w:val="en-US" w:eastAsia="zh-CN"/>
        </w:rPr>
        <w:t>二</w:t>
      </w:r>
      <w:r>
        <w:rPr>
          <w:rFonts w:hint="eastAsia" w:ascii="宋体" w:hAnsi="宋体" w:eastAsia="方正仿宋_GBK" w:cs="方正仿宋_GBK"/>
          <w:color w:val="000000"/>
          <w:sz w:val="32"/>
          <w:szCs w:val="32"/>
          <w:u w:val="none"/>
          <w:lang w:eastAsia="zh-CN"/>
        </w:rPr>
        <w:t>）</w:t>
      </w:r>
      <w:r>
        <w:rPr>
          <w:rFonts w:hint="eastAsia" w:ascii="宋体" w:hAnsi="宋体" w:eastAsia="方正仿宋_GBK" w:cs="方正仿宋_GBK"/>
          <w:color w:val="000000"/>
          <w:sz w:val="32"/>
          <w:szCs w:val="32"/>
          <w:u w:val="none"/>
        </w:rPr>
        <w:t>县工</w:t>
      </w:r>
      <w:r>
        <w:rPr>
          <w:rFonts w:hint="eastAsia" w:ascii="宋体" w:hAnsi="宋体" w:eastAsia="方正仿宋_GBK" w:cs="方正仿宋_GBK"/>
          <w:color w:val="000000"/>
          <w:sz w:val="32"/>
          <w:szCs w:val="32"/>
          <w:u w:val="none"/>
          <w:lang w:val="en-US" w:eastAsia="zh-CN"/>
        </w:rPr>
        <w:t>业</w:t>
      </w:r>
      <w:r>
        <w:rPr>
          <w:rFonts w:hint="eastAsia" w:ascii="宋体" w:hAnsi="宋体" w:eastAsia="方正仿宋_GBK" w:cs="方正仿宋_GBK"/>
          <w:color w:val="000000"/>
          <w:sz w:val="32"/>
          <w:szCs w:val="32"/>
          <w:u w:val="none"/>
        </w:rPr>
        <w:t>商</w:t>
      </w:r>
      <w:r>
        <w:rPr>
          <w:rFonts w:hint="eastAsia" w:ascii="宋体" w:hAnsi="宋体" w:eastAsia="方正仿宋_GBK" w:cs="方正仿宋_GBK"/>
          <w:color w:val="000000"/>
          <w:sz w:val="32"/>
          <w:szCs w:val="32"/>
          <w:u w:val="none"/>
          <w:lang w:val="en-US" w:eastAsia="zh-CN"/>
        </w:rPr>
        <w:t>务和</w:t>
      </w:r>
      <w:r>
        <w:rPr>
          <w:rFonts w:hint="eastAsia" w:ascii="宋体" w:hAnsi="宋体" w:eastAsia="方正仿宋_GBK" w:cs="方正仿宋_GBK"/>
          <w:color w:val="000000"/>
          <w:sz w:val="32"/>
          <w:szCs w:val="32"/>
          <w:u w:val="none"/>
        </w:rPr>
        <w:t>信</w:t>
      </w:r>
      <w:r>
        <w:rPr>
          <w:rFonts w:hint="eastAsia" w:ascii="宋体" w:hAnsi="宋体" w:eastAsia="方正仿宋_GBK" w:cs="方正仿宋_GBK"/>
          <w:color w:val="000000"/>
          <w:sz w:val="32"/>
          <w:szCs w:val="32"/>
          <w:u w:val="none"/>
          <w:lang w:val="en-US" w:eastAsia="zh-CN"/>
        </w:rPr>
        <w:t>息化</w:t>
      </w:r>
      <w:r>
        <w:rPr>
          <w:rFonts w:hint="eastAsia" w:ascii="宋体" w:hAnsi="宋体" w:eastAsia="方正仿宋_GBK" w:cs="方正仿宋_GBK"/>
          <w:color w:val="000000"/>
          <w:sz w:val="32"/>
          <w:szCs w:val="32"/>
          <w:u w:val="none"/>
        </w:rPr>
        <w:t>局</w:t>
      </w:r>
      <w:r>
        <w:rPr>
          <w:rFonts w:hint="eastAsia" w:ascii="宋体" w:hAnsi="宋体" w:eastAsia="方正仿宋_GBK" w:cs="方正仿宋_GBK"/>
          <w:color w:val="000000"/>
          <w:sz w:val="32"/>
          <w:szCs w:val="32"/>
          <w:u w:val="none"/>
          <w:lang w:val="en-US" w:eastAsia="zh-CN"/>
        </w:rPr>
        <w:t>将适时</w:t>
      </w:r>
      <w:r>
        <w:rPr>
          <w:rFonts w:hint="eastAsia" w:ascii="宋体" w:hAnsi="宋体" w:eastAsia="方正仿宋_GBK" w:cs="方正仿宋_GBK"/>
          <w:color w:val="000000"/>
          <w:sz w:val="32"/>
          <w:szCs w:val="32"/>
          <w:u w:val="none"/>
        </w:rPr>
        <w:t>会同县财政局、</w:t>
      </w:r>
      <w:r>
        <w:rPr>
          <w:rFonts w:hint="eastAsia" w:ascii="宋体" w:hAnsi="宋体" w:eastAsia="方正仿宋_GBK" w:cs="方正仿宋_GBK"/>
          <w:color w:val="000000"/>
          <w:sz w:val="32"/>
          <w:szCs w:val="32"/>
          <w:u w:val="none"/>
          <w:lang w:val="en-US" w:eastAsia="zh-CN"/>
        </w:rPr>
        <w:t>县自然资源局进行</w:t>
      </w:r>
      <w:r>
        <w:rPr>
          <w:rFonts w:hint="eastAsia" w:ascii="宋体" w:hAnsi="宋体" w:eastAsia="方正仿宋_GBK" w:cs="方正仿宋_GBK"/>
          <w:color w:val="000000"/>
          <w:sz w:val="32"/>
          <w:szCs w:val="32"/>
          <w:u w:val="none"/>
        </w:rPr>
        <w:t>审核，并联合行文报县政府审定。</w:t>
      </w:r>
      <w:r>
        <w:rPr>
          <w:rFonts w:hint="eastAsia" w:ascii="宋体" w:hAnsi="宋体" w:eastAsia="方正仿宋_GBK" w:cs="方正仿宋_GBK"/>
          <w:color w:val="000000"/>
          <w:sz w:val="32"/>
          <w:szCs w:val="32"/>
          <w:u w:val="none"/>
          <w:lang w:val="en-US" w:eastAsia="zh-CN"/>
        </w:rPr>
        <w:t>县财政局负责资金拨付，县自然资源局负责核定容积率及超出原约定容积率的新建建筑面积。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黑体"/>
          <w:color w:val="000000"/>
          <w:sz w:val="32"/>
          <w:szCs w:val="32"/>
          <w:u w:val="none"/>
          <w:lang w:eastAsia="zh-CN"/>
        </w:rPr>
      </w:pPr>
      <w:r>
        <w:rPr>
          <w:rFonts w:hint="eastAsia" w:ascii="宋体" w:hAnsi="宋体" w:eastAsia="黑体"/>
          <w:color w:val="000000"/>
          <w:sz w:val="32"/>
          <w:szCs w:val="32"/>
          <w:u w:val="none"/>
          <w:lang w:eastAsia="zh-CN"/>
        </w:rPr>
        <w:t>四</w:t>
      </w:r>
      <w:r>
        <w:rPr>
          <w:rFonts w:hint="eastAsia" w:ascii="宋体" w:hAnsi="宋体" w:eastAsia="黑体"/>
          <w:color w:val="000000"/>
          <w:sz w:val="32"/>
          <w:szCs w:val="32"/>
          <w:u w:val="none"/>
        </w:rPr>
        <w:t>、</w:t>
      </w:r>
      <w:r>
        <w:rPr>
          <w:rFonts w:hint="eastAsia" w:ascii="宋体" w:hAnsi="宋体" w:eastAsia="黑体"/>
          <w:color w:val="000000"/>
          <w:sz w:val="32"/>
          <w:szCs w:val="32"/>
          <w:u w:val="none"/>
          <w:lang w:val="en-US" w:eastAsia="zh-CN"/>
        </w:rPr>
        <w:t>其他</w:t>
      </w:r>
    </w:p>
    <w:p>
      <w:pPr>
        <w:keepNext w:val="0"/>
        <w:keepLines w:val="0"/>
        <w:pageBreakBefore w:val="0"/>
        <w:widowControl w:val="0"/>
        <w:kinsoku/>
        <w:wordWrap/>
        <w:overflowPunct/>
        <w:topLinePunct w:val="0"/>
        <w:autoSpaceDE/>
        <w:autoSpaceDN/>
        <w:bidi w:val="0"/>
        <w:adjustRightInd/>
        <w:snapToGrid/>
        <w:spacing w:line="580" w:lineRule="exact"/>
        <w:ind w:firstLine="630" w:firstLineChars="0"/>
        <w:textAlignment w:val="auto"/>
        <w:rPr>
          <w:rFonts w:hint="eastAsia" w:ascii="宋体" w:hAnsi="宋体" w:eastAsia="方正仿宋_GBK" w:cs="方正仿宋_GBK"/>
          <w:snapToGrid w:val="0"/>
          <w:color w:val="000000"/>
          <w:sz w:val="32"/>
          <w:szCs w:val="32"/>
          <w:u w:val="none"/>
          <w:lang w:val="en-US" w:eastAsia="zh-CN"/>
        </w:rPr>
      </w:pPr>
      <w:r>
        <w:rPr>
          <w:rFonts w:hint="eastAsia" w:ascii="宋体" w:hAnsi="宋体" w:eastAsia="方正仿宋_GBK" w:cs="方正仿宋_GBK"/>
          <w:snapToGrid w:val="0"/>
          <w:color w:val="000000"/>
          <w:sz w:val="32"/>
          <w:szCs w:val="32"/>
          <w:u w:val="none"/>
        </w:rPr>
        <w:t>（一）</w:t>
      </w:r>
      <w:r>
        <w:rPr>
          <w:rFonts w:hint="eastAsia" w:ascii="宋体" w:hAnsi="宋体" w:eastAsia="方正仿宋_GBK" w:cs="方正仿宋_GBK"/>
          <w:color w:val="000000"/>
          <w:sz w:val="32"/>
          <w:szCs w:val="32"/>
          <w:u w:val="none"/>
          <w:lang w:eastAsia="zh-CN"/>
        </w:rPr>
        <w:t>奖</w:t>
      </w:r>
      <w:r>
        <w:rPr>
          <w:rFonts w:hint="eastAsia" w:ascii="宋体" w:hAnsi="宋体" w:eastAsia="方正仿宋_GBK" w:cs="方正仿宋_GBK"/>
          <w:color w:val="000000"/>
          <w:sz w:val="32"/>
          <w:szCs w:val="32"/>
          <w:u w:val="none"/>
          <w:lang w:val="en-US" w:eastAsia="zh-CN"/>
        </w:rPr>
        <w:t>补</w:t>
      </w:r>
      <w:r>
        <w:rPr>
          <w:rFonts w:hint="eastAsia" w:ascii="宋体" w:hAnsi="宋体" w:eastAsia="方正仿宋_GBK" w:cs="方正仿宋_GBK"/>
          <w:color w:val="000000"/>
          <w:sz w:val="32"/>
          <w:szCs w:val="32"/>
          <w:u w:val="none"/>
          <w:lang w:eastAsia="zh-CN"/>
        </w:rPr>
        <w:t>资金每年</w:t>
      </w:r>
      <w:r>
        <w:rPr>
          <w:rFonts w:hint="eastAsia" w:ascii="宋体" w:hAnsi="宋体" w:eastAsia="方正仿宋_GBK" w:cs="方正仿宋_GBK"/>
          <w:color w:val="000000"/>
          <w:sz w:val="32"/>
          <w:szCs w:val="32"/>
          <w:u w:val="none"/>
          <w:lang w:val="en-US" w:eastAsia="zh-CN"/>
        </w:rPr>
        <w:t>组织</w:t>
      </w:r>
      <w:r>
        <w:rPr>
          <w:rFonts w:hint="eastAsia" w:ascii="宋体" w:hAnsi="宋体" w:eastAsia="方正仿宋_GBK" w:cs="方正仿宋_GBK"/>
          <w:color w:val="000000"/>
          <w:sz w:val="32"/>
          <w:szCs w:val="32"/>
          <w:u w:val="none"/>
          <w:lang w:eastAsia="zh-CN"/>
        </w:rPr>
        <w:t>申</w:t>
      </w:r>
      <w:r>
        <w:rPr>
          <w:rFonts w:hint="eastAsia" w:ascii="宋体" w:hAnsi="宋体" w:eastAsia="方正仿宋_GBK" w:cs="方正仿宋_GBK"/>
          <w:color w:val="000000"/>
          <w:sz w:val="32"/>
          <w:szCs w:val="32"/>
          <w:u w:val="none"/>
          <w:lang w:val="en-US" w:eastAsia="zh-CN"/>
        </w:rPr>
        <w:t>报</w:t>
      </w:r>
      <w:r>
        <w:rPr>
          <w:rFonts w:hint="eastAsia" w:ascii="宋体" w:hAnsi="宋体" w:eastAsia="方正仿宋_GBK" w:cs="方正仿宋_GBK"/>
          <w:color w:val="000000"/>
          <w:sz w:val="32"/>
          <w:szCs w:val="32"/>
          <w:u w:val="none"/>
          <w:lang w:eastAsia="zh-CN"/>
        </w:rPr>
        <w:t>一次，</w:t>
      </w:r>
      <w:r>
        <w:rPr>
          <w:rFonts w:hint="eastAsia" w:ascii="宋体" w:hAnsi="宋体" w:eastAsia="方正仿宋_GBK" w:cs="方正仿宋_GBK"/>
          <w:color w:val="000000"/>
          <w:sz w:val="32"/>
          <w:szCs w:val="32"/>
          <w:u w:val="none"/>
          <w:lang w:val="en-US" w:eastAsia="zh-CN"/>
        </w:rPr>
        <w:t>具体申报和资金发放的时间以实际通知为准</w:t>
      </w:r>
      <w:r>
        <w:rPr>
          <w:rFonts w:hint="eastAsia" w:ascii="宋体" w:hAnsi="宋体" w:eastAsia="方正仿宋_GBK" w:cs="方正仿宋_GBK"/>
          <w:snapToGrid w:val="0"/>
          <w:color w:val="00000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方正仿宋_GBK" w:cs="方正仿宋_GBK"/>
          <w:snapToGrid w:val="0"/>
          <w:color w:val="000000"/>
          <w:sz w:val="32"/>
          <w:szCs w:val="32"/>
          <w:u w:val="none"/>
        </w:rPr>
      </w:pPr>
      <w:r>
        <w:rPr>
          <w:rFonts w:hint="eastAsia" w:ascii="宋体" w:hAnsi="宋体" w:eastAsia="方正仿宋_GBK" w:cs="方正仿宋_GBK"/>
          <w:snapToGrid w:val="0"/>
          <w:color w:val="000000"/>
          <w:sz w:val="32"/>
          <w:szCs w:val="32"/>
          <w:u w:val="none"/>
          <w:lang w:eastAsia="zh-CN"/>
        </w:rPr>
        <w:t>（</w:t>
      </w:r>
      <w:r>
        <w:rPr>
          <w:rFonts w:hint="eastAsia" w:ascii="宋体" w:hAnsi="宋体" w:eastAsia="方正仿宋_GBK" w:cs="方正仿宋_GBK"/>
          <w:snapToGrid w:val="0"/>
          <w:color w:val="000000"/>
          <w:sz w:val="32"/>
          <w:szCs w:val="32"/>
          <w:u w:val="none"/>
          <w:lang w:val="en-US" w:eastAsia="zh-CN"/>
        </w:rPr>
        <w:t>二</w:t>
      </w:r>
      <w:r>
        <w:rPr>
          <w:rFonts w:hint="eastAsia" w:ascii="宋体" w:hAnsi="宋体" w:eastAsia="方正仿宋_GBK" w:cs="方正仿宋_GBK"/>
          <w:snapToGrid w:val="0"/>
          <w:color w:val="000000"/>
          <w:sz w:val="32"/>
          <w:szCs w:val="32"/>
          <w:u w:val="none"/>
          <w:lang w:eastAsia="zh-CN"/>
        </w:rPr>
        <w:t>）</w:t>
      </w:r>
      <w:r>
        <w:rPr>
          <w:rFonts w:hint="eastAsia" w:ascii="宋体" w:hAnsi="宋体" w:eastAsia="方正仿宋_GBK" w:cs="方正仿宋_GBK"/>
          <w:snapToGrid w:val="0"/>
          <w:color w:val="000000"/>
          <w:sz w:val="32"/>
          <w:szCs w:val="32"/>
          <w:u w:val="none"/>
        </w:rPr>
        <w:t>本</w:t>
      </w:r>
      <w:r>
        <w:rPr>
          <w:rFonts w:hint="eastAsia" w:ascii="宋体" w:hAnsi="宋体" w:eastAsia="方正仿宋_GBK" w:cs="方正仿宋_GBK"/>
          <w:snapToGrid w:val="0"/>
          <w:color w:val="000000"/>
          <w:sz w:val="32"/>
          <w:szCs w:val="32"/>
          <w:u w:val="none"/>
          <w:lang w:val="en-US" w:eastAsia="zh-CN"/>
        </w:rPr>
        <w:t>措施细则</w:t>
      </w:r>
      <w:r>
        <w:rPr>
          <w:rFonts w:hint="eastAsia" w:ascii="宋体" w:hAnsi="宋体" w:eastAsia="方正仿宋_GBK" w:cs="方正仿宋_GBK"/>
          <w:snapToGrid w:val="0"/>
          <w:color w:val="000000"/>
          <w:sz w:val="32"/>
          <w:szCs w:val="32"/>
          <w:u w:val="none"/>
        </w:rPr>
        <w:t>自</w:t>
      </w:r>
      <w:r>
        <w:rPr>
          <w:rFonts w:hint="eastAsia" w:ascii="宋体" w:hAnsi="宋体" w:eastAsia="方正仿宋_GBK" w:cs="方正仿宋_GBK"/>
          <w:snapToGrid w:val="0"/>
          <w:color w:val="000000"/>
          <w:sz w:val="32"/>
          <w:szCs w:val="32"/>
          <w:u w:val="none"/>
          <w:lang w:val="en-US" w:eastAsia="zh-CN"/>
        </w:rPr>
        <w:t>发布之日起</w:t>
      </w:r>
      <w:r>
        <w:rPr>
          <w:rFonts w:hint="eastAsia" w:ascii="宋体" w:hAnsi="宋体" w:eastAsia="方正仿宋_GBK" w:cs="方正仿宋_GBK"/>
          <w:snapToGrid w:val="0"/>
          <w:color w:val="000000"/>
          <w:sz w:val="32"/>
          <w:szCs w:val="32"/>
          <w:u w:val="none"/>
        </w:rPr>
        <w:t>实施</w:t>
      </w:r>
      <w:r>
        <w:rPr>
          <w:rFonts w:hint="eastAsia" w:ascii="宋体" w:hAnsi="宋体" w:eastAsia="方正仿宋_GBK" w:cs="方正仿宋_GBK"/>
          <w:snapToGrid w:val="0"/>
          <w:color w:val="000000"/>
          <w:sz w:val="32"/>
          <w:szCs w:val="32"/>
          <w:u w:val="none"/>
          <w:lang w:eastAsia="zh-CN"/>
        </w:rPr>
        <w:t>，</w:t>
      </w:r>
      <w:r>
        <w:rPr>
          <w:rFonts w:hint="eastAsia" w:ascii="宋体" w:hAnsi="宋体" w:eastAsia="方正仿宋_GBK" w:cs="方正仿宋_GBK"/>
          <w:snapToGrid w:val="0"/>
          <w:color w:val="000000"/>
          <w:sz w:val="32"/>
          <w:szCs w:val="32"/>
          <w:u w:val="none"/>
          <w:lang w:val="en-US" w:eastAsia="zh-CN"/>
        </w:rPr>
        <w:t>有效期（  ）年</w:t>
      </w:r>
      <w:r>
        <w:rPr>
          <w:rFonts w:hint="eastAsia" w:ascii="宋体" w:hAnsi="宋体" w:eastAsia="方正仿宋_GBK" w:cs="方正仿宋_GBK"/>
          <w:snapToGrid w:val="0"/>
          <w:color w:val="000000"/>
          <w:sz w:val="32"/>
          <w:szCs w:val="32"/>
          <w:u w:val="none"/>
        </w:rPr>
        <w:t>。</w:t>
      </w:r>
    </w:p>
    <w:p>
      <w:pPr>
        <w:keepNext w:val="0"/>
        <w:keepLines w:val="0"/>
        <w:pageBreakBefore w:val="0"/>
        <w:widowControl w:val="0"/>
        <w:kinsoku/>
        <w:wordWrap/>
        <w:overflowPunct/>
        <w:topLinePunct w:val="0"/>
        <w:autoSpaceDE/>
        <w:autoSpaceDN/>
        <w:bidi w:val="0"/>
        <w:adjustRightInd/>
        <w:snapToGrid/>
        <w:spacing w:line="580" w:lineRule="exact"/>
        <w:ind w:firstLine="630" w:firstLineChars="0"/>
        <w:textAlignment w:val="auto"/>
        <w:rPr>
          <w:rFonts w:hint="eastAsia" w:ascii="宋体" w:hAnsi="宋体" w:eastAsia="方正仿宋_GBK" w:cs="方正仿宋_GBK"/>
          <w:color w:val="000000"/>
          <w:sz w:val="32"/>
          <w:szCs w:val="32"/>
          <w:u w:val="none"/>
        </w:rPr>
      </w:pPr>
      <w:r>
        <w:rPr>
          <w:rFonts w:hint="eastAsia" w:ascii="宋体" w:hAnsi="宋体" w:eastAsia="方正仿宋_GBK" w:cs="方正仿宋_GBK"/>
          <w:snapToGrid w:val="0"/>
          <w:color w:val="000000"/>
          <w:sz w:val="32"/>
          <w:szCs w:val="32"/>
          <w:u w:val="none"/>
        </w:rPr>
        <w:t>（</w:t>
      </w:r>
      <w:r>
        <w:rPr>
          <w:rFonts w:hint="eastAsia" w:ascii="宋体" w:hAnsi="宋体" w:eastAsia="方正仿宋_GBK" w:cs="方正仿宋_GBK"/>
          <w:snapToGrid w:val="0"/>
          <w:color w:val="000000"/>
          <w:sz w:val="32"/>
          <w:szCs w:val="32"/>
          <w:u w:val="none"/>
          <w:lang w:val="en-US" w:eastAsia="zh-CN"/>
        </w:rPr>
        <w:t>三</w:t>
      </w:r>
      <w:r>
        <w:rPr>
          <w:rFonts w:hint="eastAsia" w:ascii="宋体" w:hAnsi="宋体" w:eastAsia="方正仿宋_GBK" w:cs="方正仿宋_GBK"/>
          <w:snapToGrid w:val="0"/>
          <w:color w:val="000000"/>
          <w:sz w:val="32"/>
          <w:szCs w:val="32"/>
          <w:u w:val="none"/>
        </w:rPr>
        <w:t>）本</w:t>
      </w:r>
      <w:r>
        <w:rPr>
          <w:rFonts w:hint="eastAsia" w:ascii="宋体" w:hAnsi="宋体" w:eastAsia="方正仿宋_GBK" w:cs="方正仿宋_GBK"/>
          <w:snapToGrid w:val="0"/>
          <w:color w:val="000000"/>
          <w:sz w:val="32"/>
          <w:szCs w:val="32"/>
          <w:u w:val="none"/>
          <w:lang w:val="en-US" w:eastAsia="zh-CN"/>
        </w:rPr>
        <w:t>措施细则</w:t>
      </w:r>
      <w:r>
        <w:rPr>
          <w:rFonts w:hint="eastAsia" w:ascii="宋体" w:hAnsi="宋体" w:eastAsia="方正仿宋_GBK" w:cs="方正仿宋_GBK"/>
          <w:snapToGrid w:val="0"/>
          <w:color w:val="000000"/>
          <w:sz w:val="32"/>
          <w:szCs w:val="32"/>
          <w:u w:val="none"/>
        </w:rPr>
        <w:t>由东源县工业商务和信息化局负责解释</w:t>
      </w:r>
      <w:r>
        <w:rPr>
          <w:rFonts w:hint="eastAsia" w:ascii="宋体" w:hAnsi="宋体" w:eastAsia="方正仿宋_GBK" w:cs="方正仿宋_GBK"/>
          <w:snapToGrid w:val="0"/>
          <w:color w:val="000000"/>
          <w:sz w:val="32"/>
          <w:szCs w:val="32"/>
          <w:u w:val="none"/>
          <w:lang w:eastAsia="zh-CN"/>
        </w:rPr>
        <w:t>，</w:t>
      </w:r>
      <w:r>
        <w:rPr>
          <w:rFonts w:hint="eastAsia" w:ascii="宋体" w:hAnsi="宋体" w:eastAsia="方正仿宋_GBK" w:cs="方正仿宋_GBK"/>
          <w:snapToGrid w:val="0"/>
          <w:color w:val="000000"/>
          <w:sz w:val="32"/>
          <w:szCs w:val="32"/>
          <w:u w:val="none"/>
        </w:rPr>
        <w:t>根据实施情况予以评估修订。</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方正仿宋_GBK" w:cs="方正仿宋_GBK"/>
          <w:i w:val="0"/>
          <w:caps w:val="0"/>
          <w:color w:val="000000"/>
          <w:spacing w:val="0"/>
          <w:sz w:val="32"/>
          <w:szCs w:val="32"/>
          <w:u w:val="none"/>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32"/>
          <w:szCs w:val="32"/>
          <w:lang w:eastAsia="zh-CN"/>
        </w:rPr>
      </w:pPr>
    </w:p>
    <w:sectPr>
      <w:footerReference r:id="rId3" w:type="default"/>
      <w:pgSz w:w="11906" w:h="16838"/>
      <w:pgMar w:top="2098" w:right="1474" w:bottom="153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5MTNhYmMwMWQyMmI4MjhiMTM3MzRiMDNlYzM4ODAifQ=="/>
  </w:docVars>
  <w:rsids>
    <w:rsidRoot w:val="00000000"/>
    <w:rsid w:val="001B3E53"/>
    <w:rsid w:val="063F6BFE"/>
    <w:rsid w:val="09186200"/>
    <w:rsid w:val="0AFA0737"/>
    <w:rsid w:val="0B283691"/>
    <w:rsid w:val="0BAB4DBC"/>
    <w:rsid w:val="0DDA1988"/>
    <w:rsid w:val="139323BD"/>
    <w:rsid w:val="14444719"/>
    <w:rsid w:val="145C6C53"/>
    <w:rsid w:val="14861F22"/>
    <w:rsid w:val="160C6457"/>
    <w:rsid w:val="164B51D1"/>
    <w:rsid w:val="18CE1A83"/>
    <w:rsid w:val="1CF3211F"/>
    <w:rsid w:val="1D7B3227"/>
    <w:rsid w:val="1FDC333E"/>
    <w:rsid w:val="1FDF698A"/>
    <w:rsid w:val="222F1E4B"/>
    <w:rsid w:val="239274B5"/>
    <w:rsid w:val="26296BB1"/>
    <w:rsid w:val="27602AA7"/>
    <w:rsid w:val="2D6A1F89"/>
    <w:rsid w:val="36321AB2"/>
    <w:rsid w:val="37386C54"/>
    <w:rsid w:val="39241B86"/>
    <w:rsid w:val="3A524206"/>
    <w:rsid w:val="3FF6125F"/>
    <w:rsid w:val="42A45AE6"/>
    <w:rsid w:val="44A122DD"/>
    <w:rsid w:val="46F81F5C"/>
    <w:rsid w:val="47C36A0E"/>
    <w:rsid w:val="47E50D72"/>
    <w:rsid w:val="4BAD1567"/>
    <w:rsid w:val="4BD44D46"/>
    <w:rsid w:val="510C31D4"/>
    <w:rsid w:val="54613836"/>
    <w:rsid w:val="55A439DB"/>
    <w:rsid w:val="57D305A7"/>
    <w:rsid w:val="581F37ED"/>
    <w:rsid w:val="594D25DB"/>
    <w:rsid w:val="59875AED"/>
    <w:rsid w:val="59A44949"/>
    <w:rsid w:val="5CBF6EA9"/>
    <w:rsid w:val="5CD27EC0"/>
    <w:rsid w:val="5D845EA0"/>
    <w:rsid w:val="615D7134"/>
    <w:rsid w:val="62D15A17"/>
    <w:rsid w:val="64A50AA5"/>
    <w:rsid w:val="65E73470"/>
    <w:rsid w:val="667E3DD4"/>
    <w:rsid w:val="66C537B1"/>
    <w:rsid w:val="672F50CE"/>
    <w:rsid w:val="69230C63"/>
    <w:rsid w:val="69674FF3"/>
    <w:rsid w:val="6AC971FC"/>
    <w:rsid w:val="6C382C77"/>
    <w:rsid w:val="72E6342D"/>
    <w:rsid w:val="76856AB9"/>
    <w:rsid w:val="76CC7B07"/>
    <w:rsid w:val="77CF40BC"/>
    <w:rsid w:val="799037FF"/>
    <w:rsid w:val="7BF055B5"/>
    <w:rsid w:val="7C3D2BCA"/>
    <w:rsid w:val="7C525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691</Words>
  <Characters>714</Characters>
  <Lines>0</Lines>
  <Paragraphs>0</Paragraphs>
  <TotalTime>13</TotalTime>
  <ScaleCrop>false</ScaleCrop>
  <LinksUpToDate>false</LinksUpToDate>
  <CharactersWithSpaces>723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2023-06-02T00:37:00Z</dcterms:created>
  <dc:creator>Administrator</dc:creator>
  <cp:lastModifiedBy>周晓华</cp:lastModifiedBy>
  <cp:lastPrinted>2023-07-13T01:09:00Z</cp:lastPrinted>
  <dcterms:modified xsi:type="dcterms:W3CDTF">2023-07-25T04:38:03Z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6E390A1346574B1E868D0BB550B891A4_12</vt:lpwstr>
  </property>
</Properties>
</file>